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x14="http://schemas.microsoft.com/office/spreadsheetml/2009/9/main" xmlns:xdr="http://schemas.openxmlformats.org/drawingml/2006/spreadsheetDrawing" mc:Ignorable="co w14 x14 w15">
  <w:body>
    <w:p w14:paraId="02000000">
      <w:pPr>
        <w:ind w:firstLine="567"/>
        <w:jc w:val="right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>Приложение</w:t>
      </w:r>
      <w:r>
        <w:rPr>
          <w:rFonts w:ascii="Times New Roman" w:hAnsi="Times New Roman"/>
          <w:i w:val="1"/>
          <w:sz w:val="24"/>
        </w:rPr>
        <w:t xml:space="preserve"> </w:t>
      </w:r>
    </w:p>
    <w:p w14:paraId="03000000">
      <w:pPr>
        <w:ind w:firstLine="567"/>
        <w:jc w:val="right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>к</w:t>
      </w:r>
      <w:r>
        <w:rPr>
          <w:rFonts w:ascii="Times New Roman" w:hAnsi="Times New Roman"/>
          <w:i w:val="1"/>
          <w:sz w:val="24"/>
        </w:rPr>
        <w:t xml:space="preserve"> Закону</w:t>
      </w:r>
      <w:r>
        <w:rPr>
          <w:rFonts w:ascii="Times New Roman" w:hAnsi="Times New Roman"/>
          <w:i w:val="1"/>
          <w:sz w:val="24"/>
        </w:rPr>
        <w:t xml:space="preserve"> Воронежской</w:t>
      </w:r>
      <w:r>
        <w:rPr>
          <w:rFonts w:ascii="Times New Roman" w:hAnsi="Times New Roman"/>
          <w:i w:val="1"/>
          <w:sz w:val="24"/>
        </w:rPr>
        <w:t xml:space="preserve"> област</w:t>
      </w:r>
      <w:r>
        <w:rPr>
          <w:rFonts w:ascii="Times New Roman" w:hAnsi="Times New Roman"/>
          <w:i w:val="1"/>
          <w:sz w:val="24"/>
        </w:rPr>
        <w:t>и</w:t>
      </w:r>
    </w:p>
    <w:p w14:paraId="04000000">
      <w:pPr>
        <w:ind w:firstLine="567"/>
        <w:jc w:val="right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i w:val="1"/>
          <w:sz w:val="24"/>
        </w:rPr>
        <w:t>«О</w:t>
      </w:r>
      <w:r>
        <w:rPr>
          <w:rFonts w:ascii="Times New Roman" w:hAnsi="Times New Roman"/>
          <w:i w:val="1"/>
          <w:sz w:val="24"/>
        </w:rPr>
        <w:t xml:space="preserve"> внесении изменений в отдельные </w:t>
      </w:r>
      <w:r>
        <w:rPr>
          <w:rFonts w:ascii="Times New Roman" w:hAnsi="Times New Roman"/>
          <w:i w:val="1"/>
          <w:sz w:val="24"/>
        </w:rPr>
        <w:br/>
      </w:r>
      <w:r>
        <w:rPr>
          <w:rFonts w:ascii="Times New Roman" w:hAnsi="Times New Roman"/>
          <w:i w:val="1"/>
          <w:sz w:val="24"/>
        </w:rPr>
        <w:t>законодательные акты Воронежской области»</w:t>
      </w:r>
    </w:p>
    <w:p w14:paraId="05000000">
      <w:pPr>
        <w:ind w:firstLine="567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от</w:t>
      </w:r>
      <w:r>
        <w:rPr>
          <w:rFonts w:ascii="Times New Roman" w:hAnsi="Times New Roman"/>
        </w:rPr>
        <w:t xml:space="preserve"> 12 мая</w:t>
      </w:r>
      <w:r>
        <w:rPr>
          <w:rFonts w:ascii="Times New Roman" w:hAnsi="Times New Roman"/>
        </w:rPr>
        <w:t xml:space="preserve"> 2020 г</w:t>
      </w:r>
      <w:r>
        <w:rPr>
          <w:rFonts w:ascii="Times New Roman" w:hAnsi="Times New Roman"/>
        </w:rPr>
        <w:t>. №</w:t>
      </w:r>
      <w:r>
        <w:rPr>
          <w:rFonts w:ascii="Times New Roman" w:hAnsi="Times New Roman"/>
        </w:rPr>
        <w:t xml:space="preserve"> 43-ОЗ</w:t>
      </w:r>
    </w:p>
    <w:p w14:paraId="06000000">
      <w:pPr>
        <w:spacing w:line="360" w:lineRule="auto"/>
        <w:ind w:firstLine="567"/>
        <w:jc w:val="center"/>
        <w:rPr>
          <w:rFonts w:ascii="Times New Roman" w:hAnsi="Times New Roman"/>
          <w:b w:val="1"/>
        </w:rPr>
      </w:pPr>
    </w:p>
    <w:p w14:paraId="07000000">
      <w:pPr>
        <w:spacing w:line="360" w:lineRule="auto"/>
        <w:ind w:firstLine="567"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Форма</w:t>
      </w:r>
      <w:r>
        <w:rPr>
          <w:rFonts w:ascii="Times New Roman" w:hAnsi="Times New Roman"/>
          <w:b w:val="1"/>
        </w:rPr>
        <w:t xml:space="preserve"> для</w:t>
      </w:r>
      <w:r>
        <w:rPr>
          <w:rFonts w:ascii="Times New Roman" w:hAnsi="Times New Roman"/>
          <w:b w:val="1"/>
        </w:rPr>
        <w:t xml:space="preserve"> заполнения</w:t>
      </w:r>
      <w:r>
        <w:rPr>
          <w:rFonts w:ascii="Times New Roman" w:hAnsi="Times New Roman"/>
          <w:b w:val="1"/>
        </w:rPr>
        <w:t xml:space="preserve"> </w:t>
      </w:r>
    </w:p>
    <w:p w14:paraId="08000000">
      <w:pPr>
        <w:spacing w:line="360" w:lineRule="auto"/>
        <w:ind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Данные организации (арендодателя)</w:t>
      </w:r>
    </w:p>
    <w:p w14:paraId="09000000">
      <w:pPr>
        <w:spacing w:line="360" w:lineRule="auto"/>
        <w:ind/>
        <w:jc w:val="center"/>
        <w:rPr>
          <w:rFonts w:ascii="Times New Roman" w:hAnsi="Times New Roman"/>
          <w:b w:val="1"/>
        </w:rPr>
      </w:pPr>
    </w:p>
    <w:p w14:paraId="0A000000">
      <w:pPr>
        <w:spacing w:line="360" w:lineRule="auto"/>
        <w:ind/>
        <w:rPr>
          <w:rFonts w:ascii="Times New Roman" w:hAnsi="Times New Roman"/>
        </w:rPr>
      </w:pPr>
      <w:r>
        <w:rPr>
          <w:rFonts w:ascii="Times New Roman" w:hAnsi="Times New Roman"/>
        </w:rPr>
        <w:t>Наименование и адрес организ</w:t>
      </w:r>
      <w:r>
        <w:rPr>
          <w:rFonts w:ascii="Times New Roman" w:hAnsi="Times New Roman"/>
        </w:rPr>
        <w:t>а</w:t>
      </w:r>
      <w:r>
        <w:rPr>
          <w:rFonts w:ascii="Times New Roman" w:hAnsi="Times New Roman"/>
        </w:rPr>
        <w:t>ции_____________________________</w:t>
      </w:r>
    </w:p>
    <w:p w14:paraId="0B000000">
      <w:pPr>
        <w:spacing w:line="360" w:lineRule="auto"/>
        <w:ind/>
        <w:rPr>
          <w:rFonts w:ascii="Times New Roman" w:hAnsi="Times New Roman"/>
        </w:rPr>
      </w:pPr>
      <w:r>
        <w:rPr>
          <w:rFonts w:ascii="Times New Roman" w:hAnsi="Times New Roman"/>
        </w:rPr>
        <w:t>ИНН организ</w:t>
      </w:r>
      <w:r>
        <w:rPr>
          <w:rFonts w:ascii="Times New Roman" w:hAnsi="Times New Roman"/>
        </w:rPr>
        <w:t>а</w:t>
      </w:r>
      <w:r>
        <w:rPr>
          <w:rFonts w:ascii="Times New Roman" w:hAnsi="Times New Roman"/>
        </w:rPr>
        <w:t>ции:___________________________________________</w:t>
      </w:r>
    </w:p>
    <w:p w14:paraId="0C000000">
      <w:pPr>
        <w:spacing w:line="360" w:lineRule="auto"/>
        <w:ind/>
        <w:rPr>
          <w:rFonts w:ascii="Times New Roman" w:hAnsi="Times New Roman"/>
          <w:spacing w:val="-14"/>
        </w:rPr>
      </w:pPr>
      <w:r>
        <w:rPr>
          <w:rFonts w:ascii="Times New Roman" w:hAnsi="Times New Roman"/>
          <w:spacing w:val="-8"/>
        </w:rPr>
        <w:t>Адрес объекта недвижимости, указанного в договоре аре</w:t>
      </w:r>
      <w:r>
        <w:rPr>
          <w:rFonts w:ascii="Times New Roman" w:hAnsi="Times New Roman"/>
          <w:spacing w:val="-8"/>
        </w:rPr>
        <w:t>н</w:t>
      </w:r>
      <w:r>
        <w:rPr>
          <w:rFonts w:ascii="Times New Roman" w:hAnsi="Times New Roman"/>
          <w:spacing w:val="-8"/>
        </w:rPr>
        <w:t>ды</w:t>
      </w:r>
      <w:r>
        <w:rPr>
          <w:rFonts w:ascii="Times New Roman" w:hAnsi="Times New Roman"/>
          <w:spacing w:val="-14"/>
        </w:rPr>
        <w:t>:__________</w:t>
      </w:r>
      <w:r>
        <w:rPr>
          <w:rFonts w:ascii="Times New Roman" w:hAnsi="Times New Roman"/>
          <w:spacing w:val="-14"/>
        </w:rPr>
        <w:t>_</w:t>
      </w:r>
    </w:p>
    <w:p w14:paraId="0D000000">
      <w:pPr>
        <w:spacing w:line="360" w:lineRule="auto"/>
        <w:ind/>
        <w:rPr>
          <w:rFonts w:ascii="Times New Roman" w:hAnsi="Times New Roman"/>
        </w:rPr>
      </w:pPr>
      <w:r>
        <w:rPr>
          <w:rFonts w:ascii="Times New Roman" w:hAnsi="Times New Roman"/>
        </w:rPr>
        <w:t>Кадастровый номер объекта недвижимости, указанного в договоре аре</w:t>
      </w:r>
      <w:r>
        <w:rPr>
          <w:rFonts w:ascii="Times New Roman" w:hAnsi="Times New Roman"/>
        </w:rPr>
        <w:t>н</w:t>
      </w:r>
      <w:r>
        <w:rPr>
          <w:rFonts w:ascii="Times New Roman" w:hAnsi="Times New Roman"/>
        </w:rPr>
        <w:t>ды:_</w:t>
      </w:r>
      <w:r>
        <w:rPr>
          <w:rFonts w:ascii="Times New Roman" w:hAnsi="Times New Roman"/>
        </w:rPr>
        <w:t>______________________________________________________</w:t>
      </w:r>
    </w:p>
    <w:p w14:paraId="0E000000">
      <w:pPr>
        <w:spacing w:line="360" w:lineRule="auto"/>
        <w:ind/>
        <w:rPr>
          <w:rFonts w:ascii="Times New Roman" w:hAnsi="Times New Roman"/>
        </w:rPr>
      </w:pPr>
      <w:r>
        <w:rPr>
          <w:rFonts w:ascii="Times New Roman" w:hAnsi="Times New Roman"/>
        </w:rPr>
        <w:t>Сумма налога на имущество организации, подлежащая уплате в о</w:t>
      </w:r>
      <w:r>
        <w:rPr>
          <w:rFonts w:ascii="Times New Roman" w:hAnsi="Times New Roman"/>
        </w:rPr>
        <w:t>б</w:t>
      </w:r>
      <w:r>
        <w:rPr>
          <w:rFonts w:ascii="Times New Roman" w:hAnsi="Times New Roman"/>
        </w:rPr>
        <w:t>ластной бюджет за отчетный год (руб.):______________________________</w:t>
      </w:r>
    </w:p>
    <w:p w14:paraId="0F000000">
      <w:pPr>
        <w:spacing w:line="360" w:lineRule="auto"/>
        <w:ind/>
        <w:rPr>
          <w:rFonts w:ascii="Times New Roman" w:hAnsi="Times New Roman"/>
          <w:spacing w:val="-6"/>
        </w:rPr>
      </w:pPr>
      <w:r>
        <w:rPr>
          <w:rFonts w:ascii="Times New Roman" w:hAnsi="Times New Roman"/>
          <w:spacing w:val="-6"/>
        </w:rPr>
        <w:t>Сумма арендной платы, уменьшенная в соответствии с заключенными после 1 марта 2020 года дополнительными соглашениями к договорам аре</w:t>
      </w:r>
      <w:r>
        <w:rPr>
          <w:rFonts w:ascii="Times New Roman" w:hAnsi="Times New Roman"/>
          <w:spacing w:val="-6"/>
        </w:rPr>
        <w:t>н</w:t>
      </w:r>
      <w:r>
        <w:rPr>
          <w:rFonts w:ascii="Times New Roman" w:hAnsi="Times New Roman"/>
          <w:spacing w:val="-6"/>
        </w:rPr>
        <w:t>ды (сумма уменьшенной арендной платы (руб.)</w:t>
      </w:r>
      <w:r>
        <w:rPr>
          <w:rFonts w:ascii="Times New Roman" w:hAnsi="Times New Roman"/>
          <w:spacing w:val="-6"/>
        </w:rPr>
        <w:t>)</w:t>
      </w:r>
      <w:r>
        <w:rPr>
          <w:rFonts w:ascii="Times New Roman" w:hAnsi="Times New Roman"/>
          <w:spacing w:val="-6"/>
        </w:rPr>
        <w:t>:____________________________</w:t>
      </w:r>
    </w:p>
    <w:p w14:paraId="10000000">
      <w:pPr>
        <w:ind/>
        <w:jc w:val="center"/>
        <w:rPr>
          <w:rFonts w:ascii="Times New Roman" w:hAnsi="Times New Roman"/>
          <w:b w:val="1"/>
        </w:rPr>
      </w:pPr>
    </w:p>
    <w:p w14:paraId="11000000">
      <w:pPr>
        <w:ind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 xml:space="preserve">Информация </w:t>
      </w:r>
    </w:p>
    <w:p w14:paraId="12000000">
      <w:pPr>
        <w:ind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о сумме уменьшенной арендной платы</w:t>
      </w:r>
    </w:p>
    <w:p w14:paraId="13000000">
      <w:pPr>
        <w:ind/>
        <w:jc w:val="center"/>
        <w:rPr>
          <w:rFonts w:ascii="Times New Roman" w:hAnsi="Times New Roman"/>
          <w:b w:val="1"/>
        </w:rPr>
      </w:pPr>
    </w:p>
    <w:tbl>
      <w:tblPr>
        <w:tblStyle w:val="Style_3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</w:tblPr>
      <w:tblGrid>
        <w:gridCol w:w="596"/>
        <w:gridCol w:w="740"/>
        <w:gridCol w:w="550"/>
        <w:gridCol w:w="685"/>
        <w:gridCol w:w="1222"/>
        <w:gridCol w:w="868"/>
        <w:gridCol w:w="891"/>
        <w:gridCol w:w="1088"/>
        <w:gridCol w:w="1356"/>
        <w:gridCol w:w="1223"/>
        <w:gridCol w:w="80"/>
      </w:tblGrid>
      <w:tr>
        <w:trPr>
          <w:trHeight w:hRule="atLeast" w:val="215"/>
        </w:trPr>
        <w:tc>
          <w:tcPr>
            <w:tcW w:type="dxa" w:w="59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top"/>
          </w:tcPr>
          <w:p w14:paraId="14000000">
            <w:pPr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  <w:r>
              <w:rPr>
                <w:rFonts w:ascii="Times New Roman" w:hAnsi="Times New Roman"/>
                <w:sz w:val="24"/>
              </w:rPr>
              <w:t xml:space="preserve"> п</w:t>
            </w:r>
            <w:r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type="dxa" w:w="1975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top"/>
          </w:tcPr>
          <w:p w14:paraId="15000000">
            <w:pPr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Аренд</w:t>
            </w:r>
            <w:r>
              <w:rPr>
                <w:rFonts w:ascii="Times New Roman" w:hAnsi="Times New Roman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>тор</w:t>
            </w:r>
          </w:p>
        </w:tc>
        <w:tc>
          <w:tcPr>
            <w:tcW w:type="dxa" w:w="122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top"/>
          </w:tcPr>
          <w:p w14:paraId="16000000">
            <w:pPr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Реквизиты</w:t>
            </w:r>
            <w:r>
              <w:rPr>
                <w:rFonts w:ascii="Times New Roman" w:hAnsi="Times New Roman"/>
                <w:sz w:val="24"/>
              </w:rPr>
              <w:t xml:space="preserve"> дог</w:t>
            </w:r>
            <w:r>
              <w:rPr>
                <w:rFonts w:ascii="Times New Roman" w:hAnsi="Times New Roman"/>
                <w:sz w:val="24"/>
              </w:rPr>
              <w:t>о</w:t>
            </w:r>
            <w:r>
              <w:rPr>
                <w:rFonts w:ascii="Times New Roman" w:hAnsi="Times New Roman"/>
                <w:sz w:val="24"/>
              </w:rPr>
              <w:t>вора</w:t>
            </w:r>
            <w:r>
              <w:rPr>
                <w:rFonts w:ascii="Times New Roman" w:hAnsi="Times New Roman"/>
                <w:sz w:val="24"/>
              </w:rPr>
              <w:t xml:space="preserve"> аренды</w:t>
            </w:r>
            <w:r>
              <w:rPr>
                <w:rFonts w:ascii="Times New Roman" w:hAnsi="Times New Roman"/>
                <w:sz w:val="24"/>
              </w:rPr>
              <w:t xml:space="preserve"> за</w:t>
            </w:r>
            <w:r>
              <w:rPr>
                <w:rFonts w:ascii="Times New Roman" w:hAnsi="Times New Roman"/>
                <w:sz w:val="24"/>
              </w:rPr>
              <w:t xml:space="preserve"> год</w:t>
            </w:r>
            <w:r>
              <w:rPr>
                <w:rFonts w:ascii="Times New Roman" w:hAnsi="Times New Roman"/>
                <w:sz w:val="24"/>
              </w:rPr>
              <w:t>, предшествующий</w:t>
            </w:r>
            <w:r>
              <w:rPr>
                <w:rFonts w:ascii="Times New Roman" w:hAnsi="Times New Roman"/>
                <w:sz w:val="24"/>
              </w:rPr>
              <w:t xml:space="preserve"> отче</w:t>
            </w:r>
            <w:r>
              <w:rPr>
                <w:rFonts w:ascii="Times New Roman" w:hAnsi="Times New Roman"/>
                <w:sz w:val="24"/>
              </w:rPr>
              <w:t>т</w:t>
            </w:r>
            <w:r>
              <w:rPr>
                <w:rFonts w:ascii="Times New Roman" w:hAnsi="Times New Roman"/>
                <w:sz w:val="24"/>
              </w:rPr>
              <w:t>ному</w:t>
            </w:r>
          </w:p>
        </w:tc>
        <w:tc>
          <w:tcPr>
            <w:tcW w:type="dxa" w:w="1759"/>
            <w:gridSpan w:val="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top"/>
          </w:tcPr>
          <w:p w14:paraId="17000000">
            <w:pPr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Сумма</w:t>
            </w:r>
            <w:r>
              <w:rPr>
                <w:rFonts w:ascii="Times New Roman" w:hAnsi="Times New Roman"/>
                <w:sz w:val="24"/>
              </w:rPr>
              <w:t xml:space="preserve"> арендных</w:t>
            </w:r>
            <w:r>
              <w:rPr>
                <w:rFonts w:ascii="Times New Roman" w:hAnsi="Times New Roman"/>
                <w:sz w:val="24"/>
              </w:rPr>
              <w:t xml:space="preserve"> платежей</w:t>
            </w:r>
            <w:r>
              <w:rPr>
                <w:rFonts w:ascii="Times New Roman" w:hAnsi="Times New Roman"/>
                <w:sz w:val="24"/>
              </w:rPr>
              <w:t xml:space="preserve"> за</w:t>
            </w:r>
            <w:r>
              <w:rPr>
                <w:rFonts w:ascii="Times New Roman" w:hAnsi="Times New Roman"/>
                <w:sz w:val="24"/>
              </w:rPr>
              <w:t xml:space="preserve"> год</w:t>
            </w:r>
            <w:r>
              <w:rPr>
                <w:rFonts w:ascii="Times New Roman" w:hAnsi="Times New Roman"/>
                <w:sz w:val="24"/>
              </w:rPr>
              <w:t xml:space="preserve"> по</w:t>
            </w:r>
            <w:r>
              <w:rPr>
                <w:rFonts w:ascii="Times New Roman" w:hAnsi="Times New Roman"/>
                <w:sz w:val="24"/>
              </w:rPr>
              <w:t xml:space="preserve"> договору</w:t>
            </w:r>
            <w:r>
              <w:rPr>
                <w:rFonts w:ascii="Times New Roman" w:hAnsi="Times New Roman"/>
                <w:sz w:val="24"/>
              </w:rPr>
              <w:t xml:space="preserve"> аре</w:t>
            </w:r>
            <w:r>
              <w:rPr>
                <w:rFonts w:ascii="Times New Roman" w:hAnsi="Times New Roman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ды</w:t>
            </w:r>
            <w:r>
              <w:rPr>
                <w:rFonts w:ascii="Times New Roman" w:hAnsi="Times New Roman"/>
                <w:sz w:val="24"/>
              </w:rPr>
              <w:t xml:space="preserve"> за</w:t>
            </w:r>
            <w:r>
              <w:rPr>
                <w:rFonts w:ascii="Times New Roman" w:hAnsi="Times New Roman"/>
                <w:sz w:val="24"/>
              </w:rPr>
              <w:t xml:space="preserve"> год</w:t>
            </w:r>
            <w:r>
              <w:rPr>
                <w:rFonts w:ascii="Times New Roman" w:hAnsi="Times New Roman"/>
                <w:sz w:val="24"/>
              </w:rPr>
              <w:t>, предшеству</w:t>
            </w:r>
            <w:r>
              <w:rPr>
                <w:rFonts w:ascii="Times New Roman" w:hAnsi="Times New Roman"/>
                <w:sz w:val="24"/>
              </w:rPr>
              <w:t>ю</w:t>
            </w:r>
            <w:r>
              <w:rPr>
                <w:rFonts w:ascii="Times New Roman" w:hAnsi="Times New Roman"/>
                <w:sz w:val="24"/>
              </w:rPr>
              <w:t>щий</w:t>
            </w:r>
            <w:r>
              <w:rPr>
                <w:rFonts w:ascii="Times New Roman" w:hAnsi="Times New Roman"/>
                <w:sz w:val="24"/>
              </w:rPr>
              <w:t xml:space="preserve"> о</w:t>
            </w:r>
            <w:r>
              <w:rPr>
                <w:rFonts w:ascii="Times New Roman" w:hAnsi="Times New Roman"/>
                <w:sz w:val="24"/>
              </w:rPr>
              <w:t>т</w:t>
            </w:r>
            <w:r>
              <w:rPr>
                <w:rFonts w:ascii="Times New Roman" w:hAnsi="Times New Roman"/>
                <w:sz w:val="24"/>
              </w:rPr>
              <w:t>четному</w:t>
            </w:r>
            <w:r>
              <w:rPr>
                <w:rFonts w:ascii="Times New Roman" w:hAnsi="Times New Roman"/>
                <w:sz w:val="24"/>
              </w:rPr>
              <w:t>, р</w:t>
            </w:r>
            <w:r>
              <w:rPr>
                <w:rFonts w:ascii="Times New Roman" w:hAnsi="Times New Roman"/>
                <w:sz w:val="24"/>
              </w:rPr>
              <w:t>уб.</w:t>
            </w:r>
          </w:p>
        </w:tc>
        <w:tc>
          <w:tcPr>
            <w:tcW w:type="dxa" w:w="108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top"/>
          </w:tcPr>
          <w:p w14:paraId="18000000">
            <w:pPr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Реквизиты</w:t>
            </w:r>
            <w:r>
              <w:rPr>
                <w:rFonts w:ascii="Times New Roman" w:hAnsi="Times New Roman"/>
                <w:sz w:val="24"/>
              </w:rPr>
              <w:t xml:space="preserve"> дог</w:t>
            </w:r>
            <w:r>
              <w:rPr>
                <w:rFonts w:ascii="Times New Roman" w:hAnsi="Times New Roman"/>
                <w:sz w:val="24"/>
              </w:rPr>
              <w:t>о</w:t>
            </w:r>
            <w:r>
              <w:rPr>
                <w:rFonts w:ascii="Times New Roman" w:hAnsi="Times New Roman"/>
                <w:sz w:val="24"/>
              </w:rPr>
              <w:t>вора</w:t>
            </w:r>
            <w:r>
              <w:rPr>
                <w:rFonts w:ascii="Times New Roman" w:hAnsi="Times New Roman"/>
                <w:sz w:val="24"/>
              </w:rPr>
              <w:t xml:space="preserve"> аренды</w:t>
            </w:r>
            <w:r>
              <w:rPr>
                <w:rFonts w:ascii="Times New Roman" w:hAnsi="Times New Roman"/>
                <w:sz w:val="24"/>
              </w:rPr>
              <w:t xml:space="preserve"> за</w:t>
            </w:r>
            <w:r>
              <w:rPr>
                <w:rFonts w:ascii="Times New Roman" w:hAnsi="Times New Roman"/>
                <w:sz w:val="24"/>
              </w:rPr>
              <w:t xml:space="preserve"> отче</w:t>
            </w:r>
            <w:r>
              <w:rPr>
                <w:rFonts w:ascii="Times New Roman" w:hAnsi="Times New Roman"/>
                <w:sz w:val="24"/>
              </w:rPr>
              <w:t>т</w:t>
            </w:r>
            <w:r>
              <w:rPr>
                <w:rFonts w:ascii="Times New Roman" w:hAnsi="Times New Roman"/>
                <w:sz w:val="24"/>
              </w:rPr>
              <w:t>ный</w:t>
            </w:r>
            <w:r>
              <w:rPr>
                <w:rFonts w:ascii="Times New Roman" w:hAnsi="Times New Roman"/>
                <w:sz w:val="24"/>
              </w:rPr>
              <w:t xml:space="preserve"> год</w:t>
            </w:r>
          </w:p>
        </w:tc>
        <w:tc>
          <w:tcPr>
            <w:tcW w:type="dxa" w:w="135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top"/>
          </w:tcPr>
          <w:p w14:paraId="19000000">
            <w:pPr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Сумма</w:t>
            </w:r>
            <w:r>
              <w:rPr>
                <w:rFonts w:ascii="Times New Roman" w:hAnsi="Times New Roman"/>
                <w:sz w:val="24"/>
              </w:rPr>
              <w:t xml:space="preserve"> арендных</w:t>
            </w:r>
            <w:r>
              <w:rPr>
                <w:rFonts w:ascii="Times New Roman" w:hAnsi="Times New Roman"/>
                <w:sz w:val="24"/>
              </w:rPr>
              <w:t xml:space="preserve"> платежей</w:t>
            </w:r>
            <w:r>
              <w:rPr>
                <w:rFonts w:ascii="Times New Roman" w:hAnsi="Times New Roman"/>
                <w:sz w:val="24"/>
              </w:rPr>
              <w:t xml:space="preserve"> за</w:t>
            </w:r>
            <w:r>
              <w:rPr>
                <w:rFonts w:ascii="Times New Roman" w:hAnsi="Times New Roman"/>
                <w:sz w:val="24"/>
              </w:rPr>
              <w:t xml:space="preserve"> год</w:t>
            </w:r>
            <w:r>
              <w:rPr>
                <w:rFonts w:ascii="Times New Roman" w:hAnsi="Times New Roman"/>
                <w:sz w:val="24"/>
              </w:rPr>
              <w:t xml:space="preserve"> по</w:t>
            </w:r>
            <w:r>
              <w:rPr>
                <w:rFonts w:ascii="Times New Roman" w:hAnsi="Times New Roman"/>
                <w:sz w:val="24"/>
              </w:rPr>
              <w:t xml:space="preserve"> договору</w:t>
            </w:r>
            <w:r>
              <w:rPr>
                <w:rFonts w:ascii="Times New Roman" w:hAnsi="Times New Roman"/>
                <w:sz w:val="24"/>
              </w:rPr>
              <w:t xml:space="preserve"> аре</w:t>
            </w:r>
            <w:r>
              <w:rPr>
                <w:rFonts w:ascii="Times New Roman" w:hAnsi="Times New Roman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ды</w:t>
            </w:r>
            <w:r>
              <w:rPr>
                <w:rFonts w:ascii="Times New Roman" w:hAnsi="Times New Roman"/>
                <w:sz w:val="24"/>
              </w:rPr>
              <w:t xml:space="preserve"> за</w:t>
            </w:r>
            <w:r>
              <w:rPr>
                <w:rFonts w:ascii="Times New Roman" w:hAnsi="Times New Roman"/>
                <w:sz w:val="24"/>
              </w:rPr>
              <w:t xml:space="preserve"> отчетный</w:t>
            </w:r>
            <w:r>
              <w:rPr>
                <w:rFonts w:ascii="Times New Roman" w:hAnsi="Times New Roman"/>
                <w:sz w:val="24"/>
              </w:rPr>
              <w:t xml:space="preserve">  год</w:t>
            </w:r>
            <w:r>
              <w:rPr>
                <w:rFonts w:ascii="Times New Roman" w:hAnsi="Times New Roman"/>
                <w:sz w:val="24"/>
              </w:rPr>
              <w:t>, руб.</w:t>
            </w:r>
          </w:p>
        </w:tc>
        <w:tc>
          <w:tcPr>
            <w:tcW w:type="dxa" w:w="122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top"/>
          </w:tcPr>
          <w:p w14:paraId="1A000000">
            <w:pPr>
              <w:ind w:firstLine="0" w:left="113" w:right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Сумма</w:t>
            </w:r>
            <w:r>
              <w:rPr>
                <w:rFonts w:ascii="Times New Roman" w:hAnsi="Times New Roman"/>
                <w:sz w:val="24"/>
              </w:rPr>
              <w:t xml:space="preserve"> уменьше</w:t>
            </w:r>
            <w:r>
              <w:rPr>
                <w:rFonts w:ascii="Times New Roman" w:hAnsi="Times New Roman"/>
                <w:sz w:val="24"/>
              </w:rPr>
              <w:t>н</w:t>
            </w:r>
            <w:r>
              <w:rPr>
                <w:rFonts w:ascii="Times New Roman" w:hAnsi="Times New Roman"/>
                <w:sz w:val="24"/>
              </w:rPr>
              <w:t>ной</w:t>
            </w:r>
            <w:r>
              <w:rPr>
                <w:rFonts w:ascii="Times New Roman" w:hAnsi="Times New Roman"/>
                <w:sz w:val="24"/>
              </w:rPr>
              <w:t xml:space="preserve"> арендной</w:t>
            </w:r>
            <w:r>
              <w:rPr>
                <w:rFonts w:ascii="Times New Roman" w:hAnsi="Times New Roman"/>
                <w:sz w:val="24"/>
              </w:rPr>
              <w:t xml:space="preserve"> пл</w:t>
            </w:r>
            <w:r>
              <w:rPr>
                <w:rFonts w:ascii="Times New Roman" w:hAnsi="Times New Roman"/>
                <w:sz w:val="24"/>
              </w:rPr>
              <w:t>а</w:t>
            </w:r>
            <w:r>
              <w:rPr>
                <w:rFonts w:ascii="Times New Roman" w:hAnsi="Times New Roman"/>
                <w:sz w:val="24"/>
              </w:rPr>
              <w:t>ты</w:t>
            </w:r>
            <w:r>
              <w:rPr>
                <w:rFonts w:ascii="Times New Roman" w:hAnsi="Times New Roman"/>
                <w:sz w:val="24"/>
              </w:rPr>
              <w:t>, руб.</w:t>
            </w:r>
          </w:p>
          <w:p w14:paraId="1B000000">
            <w:pPr>
              <w:ind w:firstLine="0" w:left="113" w:right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(6)-(8)</w:t>
            </w:r>
          </w:p>
        </w:tc>
        <w:tc>
          <w:tcPr>
            <w:tcW w:type="dxa" w:w="80"/>
            <w:tcBorders>
              <w:left w:color="000000" w:sz="4" w:val="single"/>
            </w:tcBorders>
          </w:tcPr>
          <w:p/>
        </w:tc>
      </w:tr>
      <w:tr>
        <w:trPr>
          <w:trHeight w:hRule="atLeast" w:val="1894"/>
        </w:trPr>
        <w:tc>
          <w:tcPr>
            <w:tcW w:type="dxa" w:w="59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top"/>
          </w:tcPr>
          <w:p/>
        </w:tc>
        <w:tc>
          <w:tcPr>
            <w:tcW w:type="dxa" w:w="7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top"/>
          </w:tcPr>
          <w:p w14:paraId="1C000000">
            <w:pPr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</w:t>
            </w:r>
            <w:r>
              <w:rPr>
                <w:rFonts w:ascii="Times New Roman" w:hAnsi="Times New Roman"/>
                <w:sz w:val="24"/>
              </w:rPr>
              <w:t xml:space="preserve"> организации</w:t>
            </w:r>
            <w:r>
              <w:rPr>
                <w:rFonts w:ascii="Times New Roman" w:hAnsi="Times New Roman"/>
                <w:sz w:val="24"/>
              </w:rPr>
              <w:t xml:space="preserve"> (ИП</w:t>
            </w:r>
            <w:r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type="dxa" w:w="5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top"/>
          </w:tcPr>
          <w:p w14:paraId="1D000000">
            <w:pPr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ИНН</w:t>
            </w:r>
          </w:p>
        </w:tc>
        <w:tc>
          <w:tcPr>
            <w:tcW w:type="dxa" w:w="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top"/>
          </w:tcPr>
          <w:p w14:paraId="1E000000">
            <w:pPr>
              <w:ind w:firstLine="0" w:left="113" w:right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Основной</w:t>
            </w:r>
            <w:r>
              <w:rPr>
                <w:rFonts w:ascii="Times New Roman" w:hAnsi="Times New Roman"/>
                <w:sz w:val="24"/>
              </w:rPr>
              <w:t xml:space="preserve"> ОКВЭД</w:t>
            </w:r>
          </w:p>
        </w:tc>
        <w:tc>
          <w:tcPr>
            <w:tcW w:type="dxa" w:w="122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top"/>
          </w:tcPr>
          <w:p/>
        </w:tc>
        <w:tc>
          <w:tcPr>
            <w:tcW w:type="dxa" w:w="1759"/>
            <w:gridSpan w:val="2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top"/>
          </w:tcPr>
          <w:p/>
        </w:tc>
        <w:tc>
          <w:tcPr>
            <w:tcW w:type="dxa" w:w="108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top"/>
          </w:tcPr>
          <w:p/>
        </w:tc>
        <w:tc>
          <w:tcPr>
            <w:tcW w:type="dxa" w:w="135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top"/>
          </w:tcPr>
          <w:p/>
        </w:tc>
        <w:tc>
          <w:tcPr>
            <w:tcW w:type="dxa" w:w="122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extDirection w:val="btLr"/>
            <w:vAlign w:val="top"/>
          </w:tcPr>
          <w:p/>
        </w:tc>
        <w:tc>
          <w:tcPr>
            <w:tcW w:type="dxa" w:w="80"/>
            <w:tcBorders>
              <w:left w:color="000000" w:sz="4" w:val="single"/>
            </w:tcBorders>
          </w:tcPr>
          <w:p/>
        </w:tc>
      </w:tr>
      <w:tr>
        <w:tc>
          <w:tcPr>
            <w:tcW w:type="dxa" w:w="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top"/>
          </w:tcPr>
          <w:p w14:paraId="1F000000">
            <w:pPr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7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top"/>
          </w:tcPr>
          <w:p w14:paraId="20000000">
            <w:pPr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5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top"/>
          </w:tcPr>
          <w:p w14:paraId="21000000">
            <w:pPr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top"/>
          </w:tcPr>
          <w:p w14:paraId="22000000">
            <w:pPr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12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top"/>
          </w:tcPr>
          <w:p w14:paraId="23000000">
            <w:pPr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175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top"/>
          </w:tcPr>
          <w:p w14:paraId="24000000">
            <w:pPr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10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top"/>
          </w:tcPr>
          <w:p w14:paraId="25000000">
            <w:pPr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top"/>
          </w:tcPr>
          <w:p w14:paraId="26000000">
            <w:pPr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type="dxa" w:w="12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top"/>
          </w:tcPr>
          <w:p w14:paraId="27000000">
            <w:pPr>
              <w:ind w:firstLine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80"/>
            <w:tcBorders>
              <w:left w:color="000000" w:sz="4" w:val="single"/>
            </w:tcBorders>
          </w:tcPr>
          <w:p/>
        </w:tc>
      </w:tr>
      <w:tr>
        <w:tc>
          <w:tcPr>
            <w:tcW w:type="dxa" w:w="59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top"/>
          </w:tcPr>
          <w:p w14:paraId="28000000">
            <w:pPr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top"/>
          </w:tcPr>
          <w:p w14:paraId="29000000">
            <w:pPr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top"/>
          </w:tcPr>
          <w:p w14:paraId="2A000000">
            <w:pPr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6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top"/>
          </w:tcPr>
          <w:p w14:paraId="2B000000">
            <w:pPr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2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top"/>
          </w:tcPr>
          <w:p w14:paraId="2C000000">
            <w:pPr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75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top"/>
          </w:tcPr>
          <w:p w14:paraId="2D000000">
            <w:pPr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0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top"/>
          </w:tcPr>
          <w:p w14:paraId="2E000000">
            <w:pPr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3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top"/>
          </w:tcPr>
          <w:p w14:paraId="2F000000">
            <w:pPr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12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top"/>
          </w:tcPr>
          <w:p w14:paraId="30000000">
            <w:pPr>
              <w:ind w:firstLine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80"/>
            <w:tcBorders>
              <w:left w:color="000000" w:sz="4" w:val="single"/>
              <w:bottom w:sz="4" w:val="nil"/>
            </w:tcBorders>
          </w:tcPr>
          <w:p/>
        </w:tc>
      </w:tr>
      <w:tr>
        <w:trPr>
          <w:trHeight w:hRule="atLeast" w:val="1171"/>
        </w:trPr>
        <w:tc>
          <w:tcPr>
            <w:tcW w:type="dxa" w:w="4661"/>
            <w:gridSpan w:val="6"/>
            <w:tcBorders>
              <w:top w:color="000000" w:sz="4" w:val="single"/>
              <w:left w:sz="4" w:val="nil"/>
              <w:bottom w:sz="4" w:val="nil"/>
              <w:right w:sz="4" w:val="nil"/>
            </w:tcBorders>
            <w:vAlign w:val="top"/>
          </w:tcPr>
          <w:p w14:paraId="31000000">
            <w:pPr>
              <w:ind w:firstLine="0"/>
              <w:jc w:val="right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638"/>
            <w:gridSpan w:val="5"/>
            <w:tcBorders>
              <w:top w:color="000000" w:sz="4" w:val="single"/>
              <w:left w:sz="4" w:val="nil"/>
              <w:bottom w:sz="4" w:val="nil"/>
              <w:right w:sz="4" w:val="nil"/>
            </w:tcBorders>
            <w:vAlign w:val="top"/>
          </w:tcPr>
          <w:p w14:paraId="32000000">
            <w:pPr>
              <w:ind w:firstLine="0"/>
              <w:jc w:val="center"/>
              <w:rPr>
                <w:rFonts w:ascii="Times New Roman" w:hAnsi="Times New Roman"/>
                <w:sz w:val="24"/>
              </w:rPr>
            </w:pPr>
          </w:p>
          <w:p w14:paraId="33000000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</w:t>
            </w:r>
            <w:r>
              <w:rPr>
                <w:rFonts w:ascii="Times New Roman" w:hAnsi="Times New Roman"/>
              </w:rPr>
              <w:t>дпись</w:t>
            </w:r>
            <w:r>
              <w:rPr>
                <w:rFonts w:ascii="Times New Roman" w:hAnsi="Times New Roman"/>
              </w:rPr>
              <w:t xml:space="preserve"> руководителя</w:t>
            </w:r>
          </w:p>
          <w:p w14:paraId="34000000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(уполномоченного</w:t>
            </w:r>
            <w:r>
              <w:rPr>
                <w:rFonts w:ascii="Times New Roman" w:hAnsi="Times New Roman"/>
              </w:rPr>
              <w:t xml:space="preserve"> лица</w:t>
            </w:r>
            <w:r>
              <w:rPr>
                <w:rFonts w:ascii="Times New Roman" w:hAnsi="Times New Roman"/>
              </w:rPr>
              <w:t>)</w:t>
            </w:r>
          </w:p>
          <w:p w14:paraId="35000000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организации</w:t>
            </w:r>
          </w:p>
          <w:p w14:paraId="36000000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(арендодателя</w:t>
            </w:r>
            <w:r>
              <w:rPr>
                <w:rFonts w:ascii="Times New Roman" w:hAnsi="Times New Roman"/>
              </w:rPr>
              <w:t>)</w:t>
            </w:r>
          </w:p>
          <w:p w14:paraId="37000000">
            <w:pPr>
              <w:ind w:firstLine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238"/>
        </w:trPr>
        <w:tc>
          <w:tcPr>
            <w:tcW w:type="dxa" w:w="4661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vAlign w:val="top"/>
          </w:tcPr>
          <w:p w14:paraId="38000000">
            <w:pPr>
              <w:ind w:firstLine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4638"/>
            <w:gridSpan w:val="5"/>
            <w:tcBorders>
              <w:top w:sz="4" w:val="nil"/>
              <w:left w:sz="4" w:val="nil"/>
              <w:bottom w:sz="4" w:val="nil"/>
              <w:right w:sz="4" w:val="nil"/>
            </w:tcBorders>
            <w:vAlign w:val="top"/>
          </w:tcPr>
          <w:p w14:paraId="39000000">
            <w:pPr>
              <w:ind w:firstLine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Место</w:t>
            </w:r>
            <w:r>
              <w:rPr>
                <w:rFonts w:ascii="Times New Roman" w:hAnsi="Times New Roman"/>
              </w:rPr>
              <w:t xml:space="preserve"> для</w:t>
            </w:r>
            <w:r>
              <w:rPr>
                <w:rFonts w:ascii="Times New Roman" w:hAnsi="Times New Roman"/>
              </w:rPr>
              <w:t xml:space="preserve"> печати</w:t>
            </w:r>
          </w:p>
        </w:tc>
      </w:tr>
    </w:tbl>
    <w:p w14:paraId="3A000000">
      <w:pPr>
        <w:ind/>
        <w:jc w:val="center"/>
        <w:rPr>
          <w:rFonts w:ascii="Times New Roman" w:hAnsi="Times New Roman"/>
        </w:rPr>
      </w:pPr>
    </w:p>
    <w:sectPr>
      <w:headerReference r:id="rId1" w:type="default"/>
      <w:pgSz w:h="16838" w:w="11906"/>
      <w:pgMar w:bottom="1134" w:footer="680" w:gutter="0" w:header="680" w:left="1985" w:right="851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x14="http://schemas.microsoft.com/office/spreadsheetml/2009/9/main" xmlns:xdr="http://schemas.openxmlformats.org/drawingml/2006/spreadsheetDrawing" mc:Ignorable="co w14 x14 w15">
  <w:p>
    <w:pPr>
      <w:framePr w:hAnchor="margin" w:vAnchor="text" w:wrap="around" w:xAlign="center" w:y="1"/>
    </w:pPr>
    <w:r>
      <w:rPr>
        <w:rStyle w:val="Style_1_ch"/>
        <w:rFonts w:ascii="Times New Roman" w:hAnsi="Times New Roman"/>
        <w:sz w:val="28"/>
      </w:rPr>
      <w:fldChar w:fldCharType="begin"/>
    </w:r>
    <w:r>
      <w:rPr>
        <w:rStyle w:val="Style_1_ch"/>
        <w:rFonts w:ascii="Times New Roman" w:hAnsi="Times New Roman"/>
        <w:sz w:val="28"/>
      </w:rPr>
      <w:instrText xml:space="preserve">PAGE </w:instrText>
    </w:r>
    <w:r>
      <w:rPr>
        <w:rStyle w:val="Style_1_ch"/>
        <w:rFonts w:ascii="Times New Roman" w:hAnsi="Times New Roman"/>
        <w:sz w:val="28"/>
      </w:rPr>
      <w:fldChar w:fldCharType="separate"/>
    </w:r>
    <w:r>
      <w:rPr>
        <w:rStyle w:val="Style_1_ch"/>
        <w:rFonts w:ascii="Times New Roman" w:hAnsi="Times New Roman"/>
        <w:sz w:val="28"/>
      </w:rPr>
      <w:fldChar w:fldCharType="end"/>
    </w:r>
  </w:p>
  <w:p w14:paraId="01000000">
    <w:pPr>
      <w:pStyle w:val="Style_2"/>
      <w:rPr>
        <w:rFonts w:ascii="Times New Roman" w:hAnsi="Times New Roman"/>
      </w:rPr>
    </w:pPr>
  </w:p>
</w:hdr>
</file>

<file path=word/settings.xml><?xml version="1.0" encoding="utf-8"?>
<w:setting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x14="http://schemas.microsoft.com/office/spreadsheetml/2009/9/main" xmlns:xdr="http://schemas.openxmlformats.org/drawingml/2006/spreadsheetDrawing" mc:Ignorable="co w14 x14 w15"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x14="http://schemas.microsoft.com/office/spreadsheetml/2009/9/main" xmlns:xdr="http://schemas.openxmlformats.org/drawingml/2006/spreadsheetDrawing" mc:Ignorable="co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0" w:uiPriority="9" w:unhideWhenUsed="0"/>
    <w:lsdException w:name="heading 10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toc 10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pPr>
      <w:widowControl w:val="1"/>
      <w:ind w:firstLine="709" w:left="0" w:right="0"/>
      <w:jc w:val="both"/>
    </w:pPr>
    <w:rPr>
      <w:sz w:val="28"/>
    </w:rPr>
  </w:style>
  <w:style w:default="1" w:styleId="Style_4_ch" w:type="character">
    <w:name w:val="Normal"/>
    <w:link w:val="Style_4"/>
    <w:rPr>
      <w:sz w:val="28"/>
    </w:rPr>
  </w:style>
  <w:style w:styleId="Style_5" w:type="paragraph">
    <w:name w:val="ВорОблДума"/>
    <w:basedOn w:val="Style_4"/>
    <w:next w:val="Style_4"/>
    <w:link w:val="Style_5_ch"/>
    <w:pPr>
      <w:spacing w:before="240"/>
      <w:ind w:firstLine="0"/>
      <w:jc w:val="center"/>
    </w:pPr>
    <w:rPr>
      <w:rFonts w:ascii="Arial" w:hAnsi="Arial"/>
      <w:b w:val="1"/>
      <w:sz w:val="48"/>
    </w:rPr>
  </w:style>
  <w:style w:styleId="Style_5_ch" w:type="character">
    <w:name w:val="ВорОблДума"/>
    <w:basedOn w:val="Style_4_ch"/>
    <w:link w:val="Style_5"/>
    <w:rPr>
      <w:rFonts w:ascii="Arial" w:hAnsi="Arial"/>
      <w:b w:val="1"/>
      <w:sz w:val="48"/>
    </w:rPr>
  </w:style>
  <w:style w:styleId="Style_6" w:type="paragraph">
    <w:name w:val="toc 2"/>
    <w:next w:val="Style_4"/>
    <w:link w:val="Style_6_ch"/>
    <w:uiPriority w:val="39"/>
    <w:pPr>
      <w:ind w:firstLine="0" w:left="200"/>
    </w:pPr>
  </w:style>
  <w:style w:styleId="Style_6_ch" w:type="character">
    <w:name w:val="toc 2"/>
    <w:link w:val="Style_6"/>
  </w:style>
  <w:style w:styleId="Style_7" w:type="paragraph">
    <w:name w:val="toc 4"/>
    <w:next w:val="Style_4"/>
    <w:link w:val="Style_7_ch"/>
    <w:uiPriority w:val="39"/>
    <w:pPr>
      <w:ind w:firstLine="0" w:left="600"/>
    </w:pPr>
  </w:style>
  <w:style w:styleId="Style_7_ch" w:type="character">
    <w:name w:val="toc 4"/>
    <w:link w:val="Style_7"/>
  </w:style>
  <w:style w:styleId="Style_8" w:type="paragraph">
    <w:name w:val="ЯчТаб_центр"/>
    <w:basedOn w:val="Style_4"/>
    <w:next w:val="Style_9"/>
    <w:link w:val="Style_8_ch"/>
    <w:pPr>
      <w:ind w:firstLine="0"/>
      <w:jc w:val="center"/>
    </w:pPr>
  </w:style>
  <w:style w:styleId="Style_8_ch" w:type="character">
    <w:name w:val="ЯчТаб_центр"/>
    <w:basedOn w:val="Style_4_ch"/>
    <w:link w:val="Style_8"/>
  </w:style>
  <w:style w:styleId="Style_10" w:type="paragraph">
    <w:name w:val="toc 6"/>
    <w:next w:val="Style_4"/>
    <w:link w:val="Style_10_ch"/>
    <w:uiPriority w:val="39"/>
    <w:pPr>
      <w:ind w:firstLine="0" w:left="1000"/>
    </w:pPr>
  </w:style>
  <w:style w:styleId="Style_10_ch" w:type="character">
    <w:name w:val="toc 6"/>
    <w:link w:val="Style_10"/>
  </w:style>
  <w:style w:styleId="Style_11" w:type="paragraph">
    <w:name w:val="toc 7"/>
    <w:next w:val="Style_4"/>
    <w:link w:val="Style_11_ch"/>
    <w:uiPriority w:val="39"/>
    <w:pPr>
      <w:ind w:firstLine="0" w:left="1200"/>
    </w:pPr>
  </w:style>
  <w:style w:styleId="Style_11_ch" w:type="character">
    <w:name w:val="toc 7"/>
    <w:link w:val="Style_11"/>
  </w:style>
  <w:style w:styleId="Style_1" w:type="paragraph">
    <w:name w:val="page number"/>
    <w:link w:val="Style_1_ch"/>
    <w:rPr>
      <w:sz w:val="24"/>
    </w:rPr>
  </w:style>
  <w:style w:styleId="Style_1_ch" w:type="character">
    <w:name w:val="page number"/>
    <w:link w:val="Style_1"/>
    <w:rPr>
      <w:sz w:val="24"/>
    </w:rPr>
  </w:style>
  <w:style w:styleId="Style_12" w:type="paragraph">
    <w:name w:val="Body Text"/>
    <w:basedOn w:val="Style_4"/>
    <w:link w:val="Style_12_ch"/>
    <w:pPr>
      <w:ind/>
      <w:jc w:val="both"/>
    </w:pPr>
  </w:style>
  <w:style w:styleId="Style_12_ch" w:type="character">
    <w:name w:val="Body Text"/>
    <w:basedOn w:val="Style_4_ch"/>
    <w:link w:val="Style_12"/>
  </w:style>
  <w:style w:styleId="Style_13" w:type="paragraph">
    <w:name w:val="heading 3"/>
    <w:next w:val="Style_4"/>
    <w:link w:val="Style_13_ch"/>
    <w:uiPriority w:val="9"/>
    <w:qFormat/>
    <w:pPr>
      <w:ind/>
      <w:outlineLvl w:val="2"/>
    </w:pPr>
    <w:rPr>
      <w:rFonts w:ascii="XO Thames" w:hAnsi="XO Thames"/>
      <w:b w:val="1"/>
      <w:i w:val="1"/>
      <w:color w:val="000000"/>
    </w:rPr>
  </w:style>
  <w:style w:styleId="Style_13_ch" w:type="character">
    <w:name w:val="heading 3"/>
    <w:link w:val="Style_13"/>
    <w:rPr>
      <w:rFonts w:ascii="XO Thames" w:hAnsi="XO Thames"/>
      <w:b w:val="1"/>
      <w:i w:val="1"/>
      <w:color w:val="000000"/>
    </w:rPr>
  </w:style>
  <w:style w:styleId="Style_14" w:type="paragraph">
    <w:name w:val="12пт влево"/>
    <w:basedOn w:val="Style_16"/>
    <w:next w:val="Style_15"/>
    <w:link w:val="Style_14_ch"/>
    <w:pPr>
      <w:ind w:firstLine="0"/>
      <w:jc w:val="left"/>
    </w:pPr>
    <w:rPr>
      <w:b w:val="0"/>
    </w:rPr>
  </w:style>
  <w:style w:styleId="Style_14_ch" w:type="character">
    <w:name w:val="12пт влево"/>
    <w:basedOn w:val="Style_16_ch"/>
    <w:link w:val="Style_14"/>
    <w:rPr>
      <w:b w:val="0"/>
    </w:rPr>
  </w:style>
  <w:style w:styleId="Style_17" w:type="paragraph">
    <w:name w:val="Приложение"/>
    <w:basedOn w:val="Style_4"/>
    <w:link w:val="Style_17_ch"/>
    <w:pPr>
      <w:ind w:firstLine="0" w:left="4536"/>
      <w:jc w:val="right"/>
    </w:pPr>
    <w:rPr>
      <w:i w:val="1"/>
      <w:sz w:val="24"/>
    </w:rPr>
  </w:style>
  <w:style w:styleId="Style_17_ch" w:type="character">
    <w:name w:val="Приложение"/>
    <w:basedOn w:val="Style_4_ch"/>
    <w:link w:val="Style_17"/>
    <w:rPr>
      <w:i w:val="1"/>
      <w:sz w:val="24"/>
    </w:rPr>
  </w:style>
  <w:style w:styleId="Style_18" w:type="paragraph">
    <w:name w:val="Раздел"/>
    <w:basedOn w:val="Style_15"/>
    <w:link w:val="Style_18_ch"/>
    <w:pPr>
      <w:ind w:firstLine="0"/>
      <w:jc w:val="center"/>
    </w:pPr>
  </w:style>
  <w:style w:styleId="Style_18_ch" w:type="character">
    <w:name w:val="Раздел"/>
    <w:basedOn w:val="Style_15_ch"/>
    <w:link w:val="Style_18"/>
  </w:style>
  <w:style w:styleId="Style_19" w:type="paragraph">
    <w:name w:val="heading 9"/>
    <w:basedOn w:val="Style_4"/>
    <w:next w:val="Style_4"/>
    <w:link w:val="Style_19_ch"/>
    <w:uiPriority w:val="9"/>
    <w:qFormat/>
    <w:pPr>
      <w:keepNext w:val="1"/>
      <w:ind/>
      <w:jc w:val="both"/>
      <w:outlineLvl w:val="8"/>
    </w:pPr>
    <w:rPr>
      <w:b w:val="1"/>
    </w:rPr>
  </w:style>
  <w:style w:styleId="Style_19_ch" w:type="character">
    <w:name w:val="heading 9"/>
    <w:basedOn w:val="Style_4_ch"/>
    <w:link w:val="Style_19"/>
    <w:rPr>
      <w:b w:val="1"/>
    </w:rPr>
  </w:style>
  <w:style w:styleId="Style_20" w:type="paragraph">
    <w:name w:val="Balloon Text"/>
    <w:basedOn w:val="Style_4"/>
    <w:link w:val="Style_20_ch"/>
    <w:pPr>
      <w:ind/>
      <w:jc w:val="both"/>
    </w:pPr>
    <w:rPr>
      <w:rFonts w:ascii="Tahoma" w:hAnsi="Tahoma"/>
      <w:sz w:val="16"/>
    </w:rPr>
  </w:style>
  <w:style w:styleId="Style_20_ch" w:type="character">
    <w:name w:val="Balloon Text"/>
    <w:basedOn w:val="Style_4_ch"/>
    <w:link w:val="Style_20"/>
    <w:rPr>
      <w:rFonts w:ascii="Tahoma" w:hAnsi="Tahoma"/>
      <w:sz w:val="16"/>
    </w:rPr>
  </w:style>
  <w:style w:styleId="Style_21" w:type="paragraph">
    <w:name w:val="Статья11"/>
    <w:basedOn w:val="Style_22"/>
    <w:next w:val="Style_4"/>
    <w:link w:val="Style_21_ch"/>
    <w:pPr>
      <w:ind w:hanging="1304" w:left="2013"/>
      <w:jc w:val="left"/>
    </w:pPr>
  </w:style>
  <w:style w:styleId="Style_21_ch" w:type="character">
    <w:name w:val="Статья11"/>
    <w:basedOn w:val="Style_22_ch"/>
    <w:link w:val="Style_21"/>
  </w:style>
  <w:style w:styleId="Style_23" w:type="paragraph">
    <w:name w:val="Регистр"/>
    <w:basedOn w:val="Style_14"/>
    <w:link w:val="Style_23_ch"/>
    <w:pPr>
      <w:ind w:firstLine="0"/>
      <w:jc w:val="left"/>
    </w:pPr>
    <w:rPr>
      <w:b w:val="0"/>
      <w:sz w:val="28"/>
    </w:rPr>
  </w:style>
  <w:style w:styleId="Style_23_ch" w:type="character">
    <w:name w:val="Регистр"/>
    <w:basedOn w:val="Style_14_ch"/>
    <w:link w:val="Style_23"/>
    <w:rPr>
      <w:b w:val="0"/>
      <w:sz w:val="28"/>
    </w:rPr>
  </w:style>
  <w:style w:styleId="Style_24" w:type="paragraph">
    <w:name w:val="Default Paragraph Font"/>
    <w:link w:val="Style_24_ch"/>
  </w:style>
  <w:style w:styleId="Style_24_ch" w:type="character">
    <w:name w:val="Default Paragraph Font"/>
    <w:link w:val="Style_24"/>
  </w:style>
  <w:style w:styleId="Style_25" w:type="paragraph">
    <w:name w:val="ПредГлава"/>
    <w:basedOn w:val="Style_15"/>
    <w:next w:val="Style_15"/>
    <w:link w:val="Style_25_ch"/>
    <w:pPr>
      <w:keepNext w:val="1"/>
      <w:tabs>
        <w:tab w:leader="none" w:pos="9072" w:val="right"/>
      </w:tabs>
      <w:spacing w:after="720" w:before="960"/>
      <w:ind w:firstLine="0"/>
      <w:jc w:val="both"/>
    </w:pPr>
  </w:style>
  <w:style w:styleId="Style_25_ch" w:type="character">
    <w:name w:val="ПредГлава"/>
    <w:basedOn w:val="Style_15_ch"/>
    <w:link w:val="Style_25"/>
  </w:style>
  <w:style w:styleId="Style_26" w:type="paragraph">
    <w:name w:val="toc 3"/>
    <w:next w:val="Style_4"/>
    <w:link w:val="Style_26_ch"/>
    <w:uiPriority w:val="39"/>
    <w:pPr>
      <w:ind w:firstLine="0" w:left="400"/>
    </w:pPr>
  </w:style>
  <w:style w:styleId="Style_26_ch" w:type="character">
    <w:name w:val="toc 3"/>
    <w:link w:val="Style_26"/>
  </w:style>
  <w:style w:styleId="Style_27" w:type="paragraph">
    <w:name w:val="ЧАСТЬ"/>
    <w:basedOn w:val="Style_15"/>
    <w:link w:val="Style_27_ch"/>
    <w:pPr>
      <w:spacing w:after="120" w:before="120"/>
      <w:ind w:firstLine="0"/>
      <w:jc w:val="center"/>
    </w:pPr>
  </w:style>
  <w:style w:styleId="Style_27_ch" w:type="character">
    <w:name w:val="ЧАСТЬ"/>
    <w:basedOn w:val="Style_15_ch"/>
    <w:link w:val="Style_27"/>
  </w:style>
  <w:style w:styleId="Style_22" w:type="paragraph">
    <w:name w:val="Статья1"/>
    <w:basedOn w:val="Style_15"/>
    <w:next w:val="Style_4"/>
    <w:link w:val="Style_22_ch"/>
    <w:pPr>
      <w:keepNext w:val="1"/>
      <w:spacing w:after="120" w:before="120"/>
      <w:ind w:hanging="1191" w:left="1900"/>
      <w:jc w:val="left"/>
    </w:pPr>
  </w:style>
  <w:style w:styleId="Style_22_ch" w:type="character">
    <w:name w:val="Статья1"/>
    <w:basedOn w:val="Style_15_ch"/>
    <w:link w:val="Style_22"/>
  </w:style>
  <w:style w:styleId="Style_28" w:type="paragraph">
    <w:name w:val="Принят"/>
    <w:basedOn w:val="Style_4"/>
    <w:link w:val="Style_28_ch"/>
    <w:pPr>
      <w:tabs>
        <w:tab w:leader="none" w:pos="9063" w:val="right"/>
      </w:tabs>
      <w:spacing w:after="600"/>
      <w:ind/>
      <w:jc w:val="both"/>
    </w:pPr>
  </w:style>
  <w:style w:styleId="Style_28_ch" w:type="character">
    <w:name w:val="Принят"/>
    <w:basedOn w:val="Style_4_ch"/>
    <w:link w:val="Style_28"/>
  </w:style>
  <w:style w:styleId="Style_29" w:type="paragraph">
    <w:name w:val="heading 5"/>
    <w:next w:val="Style_4"/>
    <w:link w:val="Style_29_ch"/>
    <w:uiPriority w:val="9"/>
    <w:qFormat/>
    <w:pPr>
      <w:spacing w:after="120" w:before="120"/>
      <w:ind/>
      <w:outlineLvl w:val="4"/>
    </w:pPr>
    <w:rPr>
      <w:rFonts w:ascii="XO Thames" w:hAnsi="XO Thames"/>
      <w:b w:val="1"/>
      <w:color w:val="000000"/>
      <w:sz w:val="22"/>
    </w:rPr>
  </w:style>
  <w:style w:styleId="Style_29_ch" w:type="character">
    <w:name w:val="heading 5"/>
    <w:link w:val="Style_29"/>
    <w:rPr>
      <w:rFonts w:ascii="XO Thames" w:hAnsi="XO Thames"/>
      <w:b w:val="1"/>
      <w:color w:val="000000"/>
      <w:sz w:val="22"/>
    </w:rPr>
  </w:style>
  <w:style w:styleId="Style_30" w:type="paragraph">
    <w:name w:val="ПРОЕКТ"/>
    <w:basedOn w:val="Style_16"/>
    <w:link w:val="Style_30_ch"/>
    <w:pPr>
      <w:ind w:firstLine="0" w:left="4536"/>
      <w:jc w:val="center"/>
    </w:pPr>
    <w:rPr>
      <w:b w:val="0"/>
    </w:rPr>
  </w:style>
  <w:style w:styleId="Style_30_ch" w:type="character">
    <w:name w:val="ПРОЕКТ"/>
    <w:basedOn w:val="Style_16_ch"/>
    <w:link w:val="Style_30"/>
    <w:rPr>
      <w:b w:val="0"/>
    </w:rPr>
  </w:style>
  <w:style w:styleId="Style_31" w:type="paragraph">
    <w:name w:val="heading 1"/>
    <w:basedOn w:val="Style_4"/>
    <w:next w:val="Style_4"/>
    <w:link w:val="Style_31_ch"/>
    <w:uiPriority w:val="9"/>
    <w:qFormat/>
    <w:pPr>
      <w:keepNext w:val="1"/>
      <w:spacing w:after="60" w:before="240"/>
      <w:ind/>
      <w:jc w:val="both"/>
      <w:outlineLvl w:val="0"/>
    </w:pPr>
    <w:rPr>
      <w:rFonts w:ascii="Arial" w:hAnsi="Arial"/>
      <w:sz w:val="32"/>
    </w:rPr>
  </w:style>
  <w:style w:styleId="Style_31_ch" w:type="character">
    <w:name w:val="heading 1"/>
    <w:basedOn w:val="Style_4_ch"/>
    <w:link w:val="Style_31"/>
    <w:rPr>
      <w:rFonts w:ascii="Arial" w:hAnsi="Arial"/>
      <w:sz w:val="32"/>
    </w:rPr>
  </w:style>
  <w:style w:styleId="Style_16" w:type="paragraph">
    <w:name w:val="12пт вправо"/>
    <w:basedOn w:val="Style_15"/>
    <w:link w:val="Style_16_ch"/>
    <w:pPr>
      <w:ind w:firstLine="0"/>
      <w:jc w:val="right"/>
    </w:pPr>
    <w:rPr>
      <w:b w:val="0"/>
      <w:sz w:val="24"/>
    </w:rPr>
  </w:style>
  <w:style w:styleId="Style_16_ch" w:type="character">
    <w:name w:val="12пт вправо"/>
    <w:basedOn w:val="Style_15_ch"/>
    <w:link w:val="Style_16"/>
    <w:rPr>
      <w:b w:val="0"/>
      <w:sz w:val="24"/>
    </w:rPr>
  </w:style>
  <w:style w:styleId="Style_32" w:type="paragraph">
    <w:name w:val="РегистрОтр"/>
    <w:basedOn w:val="Style_23"/>
    <w:link w:val="Style_32_ch"/>
    <w:pPr>
      <w:ind w:firstLine="0"/>
      <w:jc w:val="left"/>
    </w:pPr>
    <w:rPr>
      <w:b w:val="0"/>
    </w:rPr>
  </w:style>
  <w:style w:styleId="Style_32_ch" w:type="character">
    <w:name w:val="РегистрОтр"/>
    <w:basedOn w:val="Style_23_ch"/>
    <w:link w:val="Style_32"/>
    <w:rPr>
      <w:b w:val="0"/>
    </w:rPr>
  </w:style>
  <w:style w:styleId="Style_33" w:type="paragraph">
    <w:name w:val="ConsPlusNormal"/>
    <w:link w:val="Style_33_ch"/>
    <w:pPr>
      <w:widowControl w:val="0"/>
      <w:ind w:firstLine="0" w:left="0" w:right="0"/>
      <w:jc w:val="left"/>
    </w:pPr>
    <w:rPr>
      <w:sz w:val="28"/>
    </w:rPr>
  </w:style>
  <w:style w:styleId="Style_33_ch" w:type="character">
    <w:name w:val="ConsPlusNormal"/>
    <w:link w:val="Style_33"/>
    <w:rPr>
      <w:sz w:val="28"/>
    </w:rPr>
  </w:style>
  <w:style w:styleId="Style_34" w:type="paragraph">
    <w:name w:val="Hyperlink"/>
    <w:link w:val="Style_34_ch"/>
    <w:rPr>
      <w:color w:val="0000FF"/>
      <w:u w:val="single"/>
    </w:rPr>
  </w:style>
  <w:style w:styleId="Style_34_ch" w:type="character">
    <w:name w:val="Hyperlink"/>
    <w:link w:val="Style_34"/>
    <w:rPr>
      <w:color w:val="0000FF"/>
      <w:u w:val="single"/>
    </w:rPr>
  </w:style>
  <w:style w:styleId="Style_35" w:type="paragraph">
    <w:name w:val="Footnote"/>
    <w:link w:val="Style_35_ch"/>
    <w:pPr>
      <w:ind/>
      <w:jc w:val="left"/>
    </w:pPr>
    <w:rPr>
      <w:rFonts w:ascii="XO Thames" w:hAnsi="XO Thames"/>
      <w:sz w:val="22"/>
    </w:rPr>
  </w:style>
  <w:style w:styleId="Style_35_ch" w:type="character">
    <w:name w:val="Footnote"/>
    <w:link w:val="Style_35"/>
    <w:rPr>
      <w:rFonts w:ascii="XO Thames" w:hAnsi="XO Thames"/>
      <w:sz w:val="22"/>
    </w:rPr>
  </w:style>
  <w:style w:styleId="Style_2" w:type="paragraph">
    <w:name w:val="header"/>
    <w:basedOn w:val="Style_4"/>
    <w:link w:val="Style_2_ch"/>
    <w:pPr>
      <w:tabs>
        <w:tab w:leader="none" w:pos="4677" w:val="center"/>
        <w:tab w:leader="none" w:pos="9355" w:val="right"/>
      </w:tabs>
      <w:ind w:firstLine="0"/>
      <w:jc w:val="both"/>
    </w:pPr>
    <w:rPr>
      <w:sz w:val="16"/>
    </w:rPr>
  </w:style>
  <w:style w:styleId="Style_2_ch" w:type="character">
    <w:name w:val="header"/>
    <w:basedOn w:val="Style_4_ch"/>
    <w:link w:val="Style_2"/>
    <w:rPr>
      <w:sz w:val="16"/>
    </w:rPr>
  </w:style>
  <w:style w:styleId="Style_36" w:type="paragraph">
    <w:name w:val="toc 1"/>
    <w:next w:val="Style_4"/>
    <w:link w:val="Style_36_ch"/>
    <w:uiPriority w:val="39"/>
    <w:pPr>
      <w:ind w:firstLine="0" w:left="0"/>
    </w:pPr>
    <w:rPr>
      <w:rFonts w:ascii="XO Thames" w:hAnsi="XO Thames"/>
      <w:b w:val="1"/>
    </w:rPr>
  </w:style>
  <w:style w:styleId="Style_36_ch" w:type="character">
    <w:name w:val="toc 1"/>
    <w:link w:val="Style_36"/>
    <w:rPr>
      <w:rFonts w:ascii="XO Thames" w:hAnsi="XO Thames"/>
      <w:b w:val="1"/>
    </w:rPr>
  </w:style>
  <w:style w:styleId="Style_37" w:type="paragraph">
    <w:name w:val="Header and Footer"/>
    <w:link w:val="Style_37_ch"/>
    <w:pPr>
      <w:spacing w:line="360" w:lineRule="auto"/>
      <w:ind/>
    </w:pPr>
    <w:rPr>
      <w:rFonts w:ascii="XO Thames" w:hAnsi="XO Thames"/>
      <w:sz w:val="20"/>
    </w:rPr>
  </w:style>
  <w:style w:styleId="Style_37_ch" w:type="character">
    <w:name w:val="Header and Footer"/>
    <w:link w:val="Style_37"/>
    <w:rPr>
      <w:rFonts w:ascii="XO Thames" w:hAnsi="XO Thames"/>
      <w:sz w:val="20"/>
    </w:rPr>
  </w:style>
  <w:style w:styleId="Style_38" w:type="paragraph">
    <w:name w:val="ConsNormal"/>
    <w:link w:val="Style_38_ch"/>
    <w:pPr>
      <w:widowControl w:val="0"/>
      <w:ind w:firstLine="720" w:left="0" w:right="19772"/>
      <w:jc w:val="left"/>
    </w:pPr>
    <w:rPr>
      <w:rFonts w:ascii="Arial" w:hAnsi="Arial"/>
      <w:sz w:val="20"/>
    </w:rPr>
  </w:style>
  <w:style w:styleId="Style_38_ch" w:type="character">
    <w:name w:val="ConsNormal"/>
    <w:link w:val="Style_38"/>
    <w:rPr>
      <w:rFonts w:ascii="Arial" w:hAnsi="Arial"/>
      <w:sz w:val="20"/>
    </w:rPr>
  </w:style>
  <w:style w:styleId="Style_39" w:type="paragraph">
    <w:name w:val="название"/>
    <w:basedOn w:val="Style_4"/>
    <w:next w:val="Style_4"/>
    <w:link w:val="Style_39_ch"/>
    <w:pPr>
      <w:spacing w:before="240"/>
      <w:ind w:firstLine="0" w:left="1134" w:right="1134"/>
      <w:jc w:val="center"/>
    </w:pPr>
    <w:rPr>
      <w:b w:val="1"/>
    </w:rPr>
  </w:style>
  <w:style w:styleId="Style_39_ch" w:type="character">
    <w:name w:val="название"/>
    <w:basedOn w:val="Style_4_ch"/>
    <w:link w:val="Style_39"/>
    <w:rPr>
      <w:b w:val="1"/>
    </w:rPr>
  </w:style>
  <w:style w:styleId="Style_40" w:type="paragraph">
    <w:name w:val="toc 9"/>
    <w:next w:val="Style_4"/>
    <w:link w:val="Style_40_ch"/>
    <w:uiPriority w:val="39"/>
    <w:pPr>
      <w:ind w:firstLine="0" w:left="1600"/>
    </w:pPr>
  </w:style>
  <w:style w:styleId="Style_40_ch" w:type="character">
    <w:name w:val="toc 9"/>
    <w:link w:val="Style_40"/>
  </w:style>
  <w:style w:styleId="Style_41" w:type="paragraph">
    <w:name w:val="List Paragraph"/>
    <w:basedOn w:val="Style_4"/>
    <w:link w:val="Style_41_ch"/>
    <w:pPr>
      <w:ind w:firstLine="0" w:left="720"/>
      <w:contextualSpacing w:val="1"/>
      <w:jc w:val="left"/>
    </w:pPr>
    <w:rPr>
      <w:sz w:val="24"/>
    </w:rPr>
  </w:style>
  <w:style w:styleId="Style_41_ch" w:type="character">
    <w:name w:val="List Paragraph"/>
    <w:basedOn w:val="Style_4_ch"/>
    <w:link w:val="Style_41"/>
    <w:rPr>
      <w:sz w:val="24"/>
    </w:rPr>
  </w:style>
  <w:style w:styleId="Style_42" w:type="paragraph">
    <w:name w:val="toc 8"/>
    <w:next w:val="Style_4"/>
    <w:link w:val="Style_42_ch"/>
    <w:uiPriority w:val="39"/>
    <w:pPr>
      <w:ind w:firstLine="0" w:left="1400"/>
    </w:pPr>
  </w:style>
  <w:style w:styleId="Style_42_ch" w:type="character">
    <w:name w:val="toc 8"/>
    <w:link w:val="Style_42"/>
  </w:style>
  <w:style w:styleId="Style_43" w:type="paragraph">
    <w:name w:val="footer"/>
    <w:basedOn w:val="Style_4"/>
    <w:link w:val="Style_43_ch"/>
    <w:pPr>
      <w:tabs>
        <w:tab w:leader="none" w:pos="4677" w:val="center"/>
        <w:tab w:leader="none" w:pos="9355" w:val="right"/>
      </w:tabs>
      <w:spacing w:before="240"/>
      <w:ind w:firstLine="0"/>
      <w:jc w:val="both"/>
    </w:pPr>
    <w:rPr>
      <w:sz w:val="16"/>
    </w:rPr>
  </w:style>
  <w:style w:styleId="Style_43_ch" w:type="character">
    <w:name w:val="footer"/>
    <w:basedOn w:val="Style_4_ch"/>
    <w:link w:val="Style_43"/>
    <w:rPr>
      <w:sz w:val="16"/>
    </w:rPr>
  </w:style>
  <w:style w:styleId="Style_44" w:type="paragraph">
    <w:name w:val="Глава"/>
    <w:basedOn w:val="Style_18"/>
    <w:next w:val="Style_15"/>
    <w:link w:val="Style_44_ch"/>
    <w:pPr>
      <w:spacing w:before="240"/>
      <w:ind w:firstLine="0"/>
      <w:jc w:val="center"/>
    </w:pPr>
  </w:style>
  <w:style w:styleId="Style_44_ch" w:type="character">
    <w:name w:val="Глава"/>
    <w:basedOn w:val="Style_18_ch"/>
    <w:link w:val="Style_44"/>
  </w:style>
  <w:style w:styleId="Style_9" w:type="paragraph">
    <w:name w:val="ЯчТабл_лев"/>
    <w:basedOn w:val="Style_4"/>
    <w:link w:val="Style_9_ch"/>
    <w:pPr>
      <w:ind w:firstLine="0"/>
      <w:jc w:val="left"/>
    </w:pPr>
  </w:style>
  <w:style w:styleId="Style_9_ch" w:type="character">
    <w:name w:val="ЯчТабл_лев"/>
    <w:basedOn w:val="Style_4_ch"/>
    <w:link w:val="Style_9"/>
  </w:style>
  <w:style w:styleId="Style_45" w:type="paragraph">
    <w:name w:val="ЗАК_ПОСТ_РЕШ"/>
    <w:basedOn w:val="Style_46"/>
    <w:next w:val="Style_15"/>
    <w:link w:val="Style_45_ch"/>
    <w:pPr>
      <w:spacing w:after="0" w:before="360"/>
      <w:ind w:firstLine="0"/>
      <w:jc w:val="center"/>
      <w:outlineLvl w:val="8"/>
    </w:pPr>
    <w:rPr>
      <w:rFonts w:ascii="Impact" w:hAnsi="Impact"/>
      <w:spacing w:val="120"/>
      <w:sz w:val="48"/>
    </w:rPr>
  </w:style>
  <w:style w:styleId="Style_45_ch" w:type="character">
    <w:name w:val="ЗАК_ПОСТ_РЕШ"/>
    <w:basedOn w:val="Style_46_ch"/>
    <w:link w:val="Style_45"/>
    <w:rPr>
      <w:rFonts w:ascii="Impact" w:hAnsi="Impact"/>
      <w:spacing w:val="120"/>
      <w:sz w:val="48"/>
    </w:rPr>
  </w:style>
  <w:style w:styleId="Style_47" w:type="paragraph">
    <w:name w:val="12ЯчТаб_цетн"/>
    <w:basedOn w:val="Style_8"/>
    <w:link w:val="Style_47_ch"/>
    <w:pPr>
      <w:ind w:firstLine="0"/>
      <w:jc w:val="center"/>
    </w:pPr>
  </w:style>
  <w:style w:styleId="Style_47_ch" w:type="character">
    <w:name w:val="12ЯчТаб_цетн"/>
    <w:basedOn w:val="Style_8_ch"/>
    <w:link w:val="Style_47"/>
  </w:style>
  <w:style w:styleId="Style_48" w:type="paragraph">
    <w:name w:val="НазвПостЗак"/>
    <w:basedOn w:val="Style_15"/>
    <w:next w:val="Style_15"/>
    <w:link w:val="Style_48_ch"/>
    <w:pPr>
      <w:spacing w:after="600" w:before="600"/>
      <w:ind w:firstLine="0" w:left="1134" w:right="1134"/>
      <w:jc w:val="center"/>
    </w:pPr>
  </w:style>
  <w:style w:styleId="Style_48_ch" w:type="character">
    <w:name w:val="НазвПостЗак"/>
    <w:basedOn w:val="Style_15_ch"/>
    <w:link w:val="Style_48"/>
  </w:style>
  <w:style w:styleId="Style_49" w:type="paragraph">
    <w:name w:val="toc 5"/>
    <w:next w:val="Style_4"/>
    <w:link w:val="Style_49_ch"/>
    <w:uiPriority w:val="39"/>
    <w:pPr>
      <w:ind w:firstLine="0" w:left="800"/>
    </w:pPr>
  </w:style>
  <w:style w:styleId="Style_49_ch" w:type="character">
    <w:name w:val="toc 5"/>
    <w:link w:val="Style_49"/>
  </w:style>
  <w:style w:styleId="Style_50" w:type="paragraph">
    <w:name w:val="12ЯчТабл_лев"/>
    <w:basedOn w:val="Style_9"/>
    <w:link w:val="Style_50_ch"/>
    <w:pPr>
      <w:ind w:firstLine="0"/>
      <w:jc w:val="left"/>
    </w:pPr>
  </w:style>
  <w:style w:styleId="Style_50_ch" w:type="character">
    <w:name w:val="12ЯчТабл_лев"/>
    <w:basedOn w:val="Style_9_ch"/>
    <w:link w:val="Style_50"/>
  </w:style>
  <w:style w:styleId="Style_51" w:type="paragraph">
    <w:name w:val="Вопрос"/>
    <w:basedOn w:val="Style_4"/>
    <w:link w:val="Style_51_ch"/>
    <w:pPr>
      <w:spacing w:after="240"/>
      <w:ind w:hanging="567" w:left="567"/>
      <w:jc w:val="both"/>
    </w:pPr>
    <w:rPr>
      <w:b w:val="1"/>
      <w:sz w:val="32"/>
    </w:rPr>
  </w:style>
  <w:style w:styleId="Style_51_ch" w:type="character">
    <w:name w:val="Вопрос"/>
    <w:basedOn w:val="Style_4_ch"/>
    <w:link w:val="Style_51"/>
    <w:rPr>
      <w:b w:val="1"/>
      <w:sz w:val="32"/>
    </w:rPr>
  </w:style>
  <w:style w:styleId="Style_15" w:type="paragraph">
    <w:name w:val="обычныйЖир"/>
    <w:basedOn w:val="Style_4"/>
    <w:link w:val="Style_15_ch"/>
    <w:pPr>
      <w:ind/>
      <w:jc w:val="both"/>
    </w:pPr>
    <w:rPr>
      <w:b w:val="1"/>
    </w:rPr>
  </w:style>
  <w:style w:styleId="Style_15_ch" w:type="character">
    <w:name w:val="обычныйЖир"/>
    <w:basedOn w:val="Style_4_ch"/>
    <w:link w:val="Style_15"/>
    <w:rPr>
      <w:b w:val="1"/>
    </w:rPr>
  </w:style>
  <w:style w:styleId="Style_46" w:type="paragraph">
    <w:name w:val="Subtitle"/>
    <w:basedOn w:val="Style_4"/>
    <w:next w:val="Style_4"/>
    <w:link w:val="Style_46_ch"/>
    <w:uiPriority w:val="11"/>
    <w:qFormat/>
    <w:pPr>
      <w:spacing w:after="120" w:before="120"/>
      <w:ind w:firstLine="0"/>
      <w:jc w:val="center"/>
      <w:outlineLvl w:val="1"/>
    </w:pPr>
  </w:style>
  <w:style w:styleId="Style_46_ch" w:type="character">
    <w:name w:val="Subtitle"/>
    <w:basedOn w:val="Style_4_ch"/>
    <w:link w:val="Style_46"/>
  </w:style>
  <w:style w:styleId="Style_52" w:type="paragraph">
    <w:name w:val="toc 10"/>
    <w:next w:val="Style_4"/>
    <w:link w:val="Style_52_ch"/>
    <w:uiPriority w:val="39"/>
    <w:pPr>
      <w:ind w:firstLine="0" w:left="1800"/>
    </w:pPr>
  </w:style>
  <w:style w:styleId="Style_52_ch" w:type="character">
    <w:name w:val="toc 10"/>
    <w:link w:val="Style_52"/>
  </w:style>
  <w:style w:styleId="Style_53" w:type="paragraph">
    <w:name w:val="Title"/>
    <w:next w:val="Style_4"/>
    <w:link w:val="Style_53_ch"/>
    <w:uiPriority w:val="10"/>
    <w:qFormat/>
    <w:rPr>
      <w:rFonts w:ascii="XO Thames" w:hAnsi="XO Thames"/>
      <w:b w:val="1"/>
      <w:sz w:val="52"/>
    </w:rPr>
  </w:style>
  <w:style w:styleId="Style_53_ch" w:type="character">
    <w:name w:val="Title"/>
    <w:link w:val="Style_53"/>
    <w:rPr>
      <w:rFonts w:ascii="XO Thames" w:hAnsi="XO Thames"/>
      <w:b w:val="1"/>
      <w:sz w:val="52"/>
    </w:rPr>
  </w:style>
  <w:style w:styleId="Style_54" w:type="paragraph">
    <w:name w:val="heading 4"/>
    <w:basedOn w:val="Style_4"/>
    <w:next w:val="Style_4"/>
    <w:link w:val="Style_54_ch"/>
    <w:uiPriority w:val="9"/>
    <w:qFormat/>
    <w:pPr>
      <w:keepNext w:val="1"/>
      <w:spacing w:after="60" w:before="240"/>
      <w:ind/>
      <w:jc w:val="both"/>
      <w:outlineLvl w:val="3"/>
    </w:pPr>
    <w:rPr>
      <w:b w:val="1"/>
    </w:rPr>
  </w:style>
  <w:style w:styleId="Style_54_ch" w:type="character">
    <w:name w:val="heading 4"/>
    <w:basedOn w:val="Style_4_ch"/>
    <w:link w:val="Style_54"/>
    <w:rPr>
      <w:b w:val="1"/>
    </w:rPr>
  </w:style>
  <w:style w:styleId="Style_55" w:type="paragraph">
    <w:name w:val="heading 2"/>
    <w:basedOn w:val="Style_4"/>
    <w:next w:val="Style_4"/>
    <w:link w:val="Style_55_ch"/>
    <w:uiPriority w:val="9"/>
    <w:qFormat/>
    <w:pPr>
      <w:keepNext w:val="1"/>
      <w:tabs>
        <w:tab w:leader="none" w:pos="4678" w:val="left"/>
        <w:tab w:leader="none" w:pos="9072" w:val="right"/>
      </w:tabs>
      <w:spacing w:before="560"/>
      <w:ind/>
      <w:jc w:val="both"/>
      <w:outlineLvl w:val="1"/>
    </w:pPr>
    <w:rPr>
      <w:b w:val="1"/>
    </w:rPr>
  </w:style>
  <w:style w:styleId="Style_55_ch" w:type="character">
    <w:name w:val="heading 2"/>
    <w:basedOn w:val="Style_4_ch"/>
    <w:link w:val="Style_55"/>
    <w:rPr>
      <w:b w:val="1"/>
    </w:rPr>
  </w:style>
  <w:style w:styleId="Style_56" w:type="table">
    <w:name w:val="Table Grid"/>
    <w:basedOn w:val="Style_3"/>
    <w:rPr>
      <w:rFonts w:ascii="Times New Roman" w:hAnsi="Times New Roman"/>
      <w:sz w:val="28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x14="http://schemas.microsoft.com/office/spreadsheetml/2009/9/main" xmlns:xdr="http://schemas.openxmlformats.org/drawingml/2006/spreadsheetDrawing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%">
              <a:schemeClr val="phClr">
                <a:tint val="50%"/>
                <a:satMod val="300%"/>
              </a:schemeClr>
            </a:gs>
            <a:gs pos="35%">
              <a:schemeClr val="phClr">
                <a:tint val="37%"/>
                <a:satMod val="300%"/>
              </a:schemeClr>
            </a:gs>
            <a:gs pos="100%">
              <a:schemeClr val="phClr">
                <a:tint val="15%"/>
                <a:satMod val="350%"/>
              </a:schemeClr>
            </a:gs>
          </a:gsLst>
        </a:gradFill>
        <a:gradFill>
          <a:gsLst>
            <a:gs pos="0%">
              <a:schemeClr val="phClr">
                <a:shade val="51%"/>
                <a:satMod val="130%"/>
              </a:schemeClr>
            </a:gs>
            <a:gs pos="80%">
              <a:schemeClr val="phClr">
                <a:shade val="93%"/>
                <a:satMod val="130%"/>
              </a:schemeClr>
            </a:gs>
            <a:gs pos="100%">
              <a:schemeClr val="phClr">
                <a:shade val="94%"/>
                <a:satMod val="135%"/>
              </a:schemeClr>
            </a:gs>
          </a:gsLst>
        </a:gradFill>
      </a:fillStyleLst>
      <a:lnStyleLst>
        <a:ln w="9525">
          <a:solidFill>
            <a:schemeClr val="phClr">
              <a:shade val="95%"/>
              <a:satMod val="105%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%">
              <a:schemeClr val="phClr">
                <a:tint val="40%"/>
                <a:satMod val="350%"/>
              </a:schemeClr>
            </a:gs>
            <a:gs pos="40%">
              <a:schemeClr val="phClr">
                <a:tint val="45%"/>
                <a:shade val="99%"/>
                <a:satMod val="350%"/>
              </a:schemeClr>
            </a:gs>
            <a:gs pos="100%">
              <a:schemeClr val="phClr">
                <a:shade val="20%"/>
                <a:satMod val="255%"/>
              </a:schemeClr>
            </a:gs>
          </a:gsLst>
        </a:gradFill>
        <a:gradFill>
          <a:gsLst>
            <a:gs pos="0%">
              <a:schemeClr val="phClr">
                <a:tint val="80%"/>
                <a:satMod val="300%"/>
              </a:schemeClr>
            </a:gs>
            <a:gs pos="100%">
              <a:schemeClr val="phClr">
                <a:shade val="30%"/>
                <a:satMod val="200%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MyOffice-CoreFramework-Windows/17.2-694.174.3565.329.2@RELEASE-DESKTOP-PARSLEY-RC</Application>
</Properties>
</file>